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67 vom 30. Januar 2026</w:t>
      </w:r>
    </w:p>
    <w:p>
      <w:r>
        <w:t>GR Gerichte, 2026-01-30, DE</w:t>
      </w:r>
    </w:p>
    <w:p>
      <w:r>
        <w:rPr>
          <w:b/>
        </w:rPr>
        <w:t xml:space="preserve">Quelle: </w:t>
      </w:r>
      <w:r>
        <w:t>https://mcp.opencaselaw.ch/entscheid/gr_gerichte_VR2 2025 67</w:t>
      </w:r>
    </w:p>
    <w:p>
      <w:r>
        <w:t>FR: GR_GERICHTE VR2 2025 67 du 30 janvier 2026</w:t>
      </w:r>
    </w:p>
    <w:p>
      <w:r>
        <w:t>IT: GR_GERICHTE VR2 2025 67 del 30 gennaio 2026</w:t>
      </w:r>
    </w:p>
    <w:p>
      <w:pPr>
        <w:pStyle w:val="Heading2"/>
      </w:pPr>
      <w:r>
        <w:t>Regeste</w:t>
      </w:r>
    </w:p>
    <w:p>
      <w:r>
        <w:t>Feuerwehrpflicht | Übrige Fälle und Geschäfte</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23. Dezember 2025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w:t>
      </w:r>
    </w:p>
    <w:p>
      <w:r>
        <w:rPr>
          <w:b/>
        </w:rPr>
        <w:t>E. 3</w:t>
      </w:r>
    </w:p>
    <w:p>
      <w:r>
        <w:t>Im konkreten Fall forderte der Vorsitzende den Beschwerdeführer mit prozessleitender Verfügung vom 6. Januar 2026 unter Androhung der Säumnisfolgen (Nichteintreten) zur Leistung eines Kostenvorschusses in der Höhe von CHF 1'500.00 bis zum 23. Januar 2026 auf. Da der besagte Kostenvorschuss bis zum erwähnten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